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  <w:r>
        <w:rPr/>
        <w:pict>
          <v:group style="position:absolute;margin-left:0pt;margin-top:0pt;width:612pt;height:170.4pt;mso-position-horizontal-relative:page;mso-position-vertical-relative:page;z-index:15728640" id="docshapegroup1" coordorigin="0,0" coordsize="12240,3408">
            <v:shape style="position:absolute;left:0;top:0;width:12240;height:3408" type="#_x0000_t75" id="docshape2" stroked="false">
              <v:imagedata r:id="rId5" o:title=""/>
            </v:shape>
            <v:rect style="position:absolute;left:0;top:0;width:12240;height:3000" id="docshape3" filled="true" fillcolor="#288dcc" stroked="false">
              <v:fill opacity="62259f" type="solid"/>
            </v:rect>
            <v:shape style="position:absolute;left:8312;top:64;width:3046;height:2391" id="docshape4" coordorigin="8312,64" coordsize="3046,2391" path="m11358,64l8312,64,8312,2360,8312,2455,11358,2455,11358,2360,11358,64xe" filled="true" fillcolor="#231f20" stroked="false">
              <v:path arrowok="t"/>
              <v:fill opacity="19660f" type="solid"/>
            </v:shape>
            <v:rect style="position:absolute;left:8352;top:0;width:3008;height:2360" id="docshape5" filled="true" fillcolor="#008068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3408" type="#_x0000_t202" id="docshape6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Arial"/>
                        <w:sz w:val="61"/>
                      </w:rPr>
                    </w:pPr>
                  </w:p>
                  <w:p>
                    <w:pPr>
                      <w:spacing w:line="259" w:lineRule="auto" w:before="1"/>
                      <w:ind w:left="880" w:right="3975" w:firstLine="0"/>
                      <w:jc w:val="left"/>
                      <w:rPr>
                        <w:rFonts w:ascii="Cambria"/>
                        <w:b/>
                        <w:sz w:val="46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w w:val="110"/>
                        <w:sz w:val="46"/>
                      </w:rPr>
                      <w:t>Tailoring Clinical Teaching to an Individual Student</w:t>
                    </w:r>
                  </w:p>
                  <w:p>
                    <w:pPr>
                      <w:spacing w:before="59"/>
                      <w:ind w:left="880" w:right="0" w:firstLine="0"/>
                      <w:jc w:val="left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Authored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by: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PAEA’s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Committee</w:t>
                    </w:r>
                    <w:r>
                      <w:rPr>
                        <w:rFonts w:ascii="Lucida Sans" w:hAnsi="Lucida Sans"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on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Clinical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Education</w:t>
                    </w:r>
                  </w:p>
                  <w:p>
                    <w:pPr>
                      <w:spacing w:before="34"/>
                      <w:ind w:left="88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FFFFFF"/>
                        <w:w w:val="83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FFFFFF"/>
                        <w:w w:val="98"/>
                        <w:sz w:val="14"/>
                      </w:rPr>
                      <w:t>u</w:t>
                    </w:r>
                    <w:r>
                      <w:rPr>
                        <w:rFonts w:ascii="Arial"/>
                        <w:color w:val="FFFFFF"/>
                        <w:w w:val="88"/>
                        <w:sz w:val="14"/>
                      </w:rPr>
                      <w:t>b</w:t>
                    </w:r>
                    <w:r>
                      <w:rPr>
                        <w:rFonts w:ascii="Arial"/>
                        <w:color w:val="FFFFFF"/>
                        <w:spacing w:val="1"/>
                        <w:w w:val="185"/>
                        <w:sz w:val="14"/>
                      </w:rPr>
                      <w:t>l</w:t>
                    </w:r>
                    <w:r>
                      <w:rPr>
                        <w:rFonts w:ascii="Arial"/>
                        <w:color w:val="FFFFFF"/>
                        <w:w w:val="108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FFFFFF"/>
                        <w:w w:val="86"/>
                        <w:sz w:val="14"/>
                      </w:rPr>
                      <w:t>s</w:t>
                    </w:r>
                    <w:r>
                      <w:rPr>
                        <w:rFonts w:ascii="Arial"/>
                        <w:color w:val="FFFFFF"/>
                        <w:w w:val="106"/>
                        <w:sz w:val="14"/>
                      </w:rPr>
                      <w:t>h</w:t>
                    </w:r>
                    <w:r>
                      <w:rPr>
                        <w:rFonts w:ascii="Arial"/>
                        <w:color w:val="FFFFFF"/>
                        <w:spacing w:val="-1"/>
                        <w:w w:val="85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FFFFFF"/>
                        <w:spacing w:val="-2"/>
                        <w:w w:val="106"/>
                        <w:sz w:val="14"/>
                      </w:rPr>
                      <w:t>d</w:t>
                    </w:r>
                    <w:r>
                      <w:rPr>
                        <w:rFonts w:ascii="Arial"/>
                        <w:color w:val="FFFFFF"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4"/>
                      </w:rPr>
                      <w:t>february</w:t>
                    </w:r>
                    <w:r>
                      <w:rPr>
                        <w:rFonts w:ascii="Arial"/>
                        <w:color w:val="FFFFFF"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4"/>
                        <w:w w:val="105"/>
                        <w:sz w:val="14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8352;top:0;width:3008;height:2360" type="#_x0000_t202" id="docshape7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sz w:val="50"/>
                      </w:rPr>
                    </w:pPr>
                  </w:p>
                  <w:p>
                    <w:pPr>
                      <w:spacing w:before="0"/>
                      <w:ind w:left="636" w:right="636" w:firstLine="0"/>
                      <w:jc w:val="center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FFFFFF"/>
                        <w:spacing w:val="-6"/>
                        <w:sz w:val="34"/>
                      </w:rPr>
                      <w:t>1-</w:t>
                    </w:r>
                    <w:r>
                      <w:rPr>
                        <w:rFonts w:ascii="Arial"/>
                        <w:color w:val="FFFFFF"/>
                        <w:spacing w:val="-2"/>
                        <w:sz w:val="34"/>
                      </w:rPr>
                      <w:t>PAGERS</w:t>
                    </w:r>
                  </w:p>
                  <w:p>
                    <w:pPr>
                      <w:spacing w:line="249" w:lineRule="auto" w:before="17"/>
                      <w:ind w:left="457" w:right="455" w:hanging="3"/>
                      <w:jc w:val="center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FFFFFF"/>
                        <w:spacing w:val="-4"/>
                        <w:sz w:val="34"/>
                      </w:rPr>
                      <w:t>for </w:t>
                    </w:r>
                    <w:r>
                      <w:rPr>
                        <w:rFonts w:ascii="Arial"/>
                        <w:color w:val="FFFFFF"/>
                        <w:spacing w:val="-4"/>
                        <w:w w:val="90"/>
                        <w:sz w:val="34"/>
                      </w:rPr>
                      <w:t>PRECEPTORS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2"/>
        <w:ind w:left="0" w:firstLine="0"/>
        <w:rPr>
          <w:rFonts w:ascii="Times New Roman"/>
          <w:sz w:val="21"/>
        </w:rPr>
      </w:pPr>
    </w:p>
    <w:p>
      <w:pPr>
        <w:spacing w:line="271" w:lineRule="auto" w:before="112"/>
        <w:ind w:left="870" w:right="543" w:firstLine="0"/>
        <w:jc w:val="left"/>
        <w:rPr>
          <w:rFonts w:ascii="Arial"/>
          <w:sz w:val="20"/>
        </w:rPr>
      </w:pPr>
      <w:r>
        <w:rPr>
          <w:rFonts w:ascii="Arial"/>
          <w:color w:val="231F20"/>
          <w:w w:val="105"/>
          <w:sz w:val="20"/>
        </w:rPr>
        <w:t>PA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students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from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the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same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or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different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programs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may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come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to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the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clinical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setting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for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training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with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differences</w:t>
      </w:r>
      <w:r>
        <w:rPr>
          <w:rFonts w:ascii="Arial"/>
          <w:color w:val="231F20"/>
          <w:spacing w:val="-5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in clinical knowledge and skills based on a number of factors, including:</w:t>
      </w:r>
    </w:p>
    <w:p>
      <w:pPr>
        <w:pStyle w:val="ListParagraph"/>
        <w:numPr>
          <w:ilvl w:val="0"/>
          <w:numId w:val="1"/>
        </w:numPr>
        <w:tabs>
          <w:tab w:pos="1590" w:val="left" w:leader="none"/>
        </w:tabs>
        <w:spacing w:line="271" w:lineRule="auto" w:before="61" w:after="0"/>
        <w:ind w:left="1590" w:right="134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w w:val="105"/>
          <w:sz w:val="20"/>
        </w:rPr>
        <w:t>Experience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level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in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their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clinical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training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sz w:val="20"/>
        </w:rPr>
        <w:t>—</w:t>
      </w:r>
      <w:r>
        <w:rPr>
          <w:rFonts w:ascii="Arial" w:hAnsi="Arial"/>
          <w:color w:val="231F20"/>
          <w:spacing w:val="-7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students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on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a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first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rotation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may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require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more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direction</w:t>
      </w:r>
      <w:r>
        <w:rPr>
          <w:rFonts w:ascii="Arial" w:hAnsi="Arial"/>
          <w:color w:val="231F20"/>
          <w:spacing w:val="-10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than those later in their training.</w:t>
      </w:r>
    </w:p>
    <w:p>
      <w:pPr>
        <w:pStyle w:val="ListParagraph"/>
        <w:numPr>
          <w:ilvl w:val="0"/>
          <w:numId w:val="1"/>
        </w:numPr>
        <w:tabs>
          <w:tab w:pos="1590" w:val="left" w:leader="none"/>
        </w:tabs>
        <w:spacing w:line="240" w:lineRule="auto" w:before="0" w:after="0"/>
        <w:ind w:left="159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Whether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your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practice</w:t>
      </w:r>
      <w:r>
        <w:rPr>
          <w:rFonts w:ascii="Arial" w:hAnsi="Arial"/>
          <w:color w:val="231F20"/>
          <w:spacing w:val="10"/>
          <w:sz w:val="20"/>
        </w:rPr>
        <w:t> </w:t>
      </w:r>
      <w:r>
        <w:rPr>
          <w:rFonts w:ascii="Arial" w:hAnsi="Arial"/>
          <w:color w:val="231F20"/>
          <w:sz w:val="20"/>
        </w:rPr>
        <w:t>is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primary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care</w:t>
      </w:r>
      <w:r>
        <w:rPr>
          <w:rFonts w:ascii="Arial" w:hAnsi="Arial"/>
          <w:color w:val="231F20"/>
          <w:spacing w:val="10"/>
          <w:sz w:val="20"/>
        </w:rPr>
        <w:t> </w:t>
      </w:r>
      <w:r>
        <w:rPr>
          <w:rFonts w:ascii="Arial" w:hAnsi="Arial"/>
          <w:color w:val="231F20"/>
          <w:sz w:val="20"/>
        </w:rPr>
        <w:t>or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specialty.</w:t>
      </w:r>
      <w:r>
        <w:rPr>
          <w:rFonts w:ascii="Arial" w:hAnsi="Arial"/>
          <w:color w:val="231F20"/>
          <w:spacing w:val="10"/>
          <w:sz w:val="20"/>
        </w:rPr>
        <w:t> </w:t>
      </w:r>
      <w:r>
        <w:rPr>
          <w:rFonts w:ascii="Arial" w:hAnsi="Arial"/>
          <w:color w:val="231F20"/>
          <w:sz w:val="20"/>
        </w:rPr>
        <w:t>Nearly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all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PA</w:t>
      </w:r>
      <w:r>
        <w:rPr>
          <w:rFonts w:ascii="Arial" w:hAnsi="Arial"/>
          <w:color w:val="231F20"/>
          <w:spacing w:val="10"/>
          <w:sz w:val="20"/>
        </w:rPr>
        <w:t> </w:t>
      </w:r>
      <w:r>
        <w:rPr>
          <w:rFonts w:ascii="Arial" w:hAnsi="Arial"/>
          <w:color w:val="231F20"/>
          <w:sz w:val="20"/>
        </w:rPr>
        <w:t>students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are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z w:val="20"/>
        </w:rPr>
        <w:t>trained</w:t>
      </w:r>
      <w:r>
        <w:rPr>
          <w:rFonts w:ascii="Arial" w:hAnsi="Arial"/>
          <w:color w:val="231F20"/>
          <w:spacing w:val="10"/>
          <w:sz w:val="20"/>
        </w:rPr>
        <w:t> </w:t>
      </w:r>
      <w:r>
        <w:rPr>
          <w:rFonts w:ascii="Arial" w:hAnsi="Arial"/>
          <w:color w:val="231F20"/>
          <w:sz w:val="20"/>
        </w:rPr>
        <w:t>as</w:t>
      </w:r>
      <w:r>
        <w:rPr>
          <w:rFonts w:ascii="Arial" w:hAnsi="Arial"/>
          <w:color w:val="231F20"/>
          <w:spacing w:val="9"/>
          <w:sz w:val="20"/>
        </w:rPr>
        <w:t> </w:t>
      </w:r>
      <w:r>
        <w:rPr>
          <w:rFonts w:ascii="Arial" w:hAnsi="Arial"/>
          <w:color w:val="231F20"/>
          <w:spacing w:val="-2"/>
          <w:sz w:val="20"/>
        </w:rPr>
        <w:t>generalists.</w:t>
      </w:r>
    </w:p>
    <w:p>
      <w:pPr>
        <w:pStyle w:val="ListParagraph"/>
        <w:numPr>
          <w:ilvl w:val="0"/>
          <w:numId w:val="1"/>
        </w:numPr>
        <w:tabs>
          <w:tab w:pos="1590" w:val="left" w:leader="none"/>
        </w:tabs>
        <w:spacing w:line="271" w:lineRule="auto" w:before="30" w:after="0"/>
        <w:ind w:left="1590" w:right="2028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w w:val="105"/>
          <w:sz w:val="20"/>
        </w:rPr>
        <w:t>Patient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care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experiences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prior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to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PA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school.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An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IMG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or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independent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Duty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Corpsman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might</w:t>
      </w:r>
      <w:r>
        <w:rPr>
          <w:rFonts w:ascii="Arial" w:hAnsi="Arial"/>
          <w:color w:val="231F20"/>
          <w:spacing w:val="-9"/>
          <w:w w:val="105"/>
          <w:sz w:val="20"/>
        </w:rPr>
        <w:t> </w:t>
      </w:r>
      <w:r>
        <w:rPr>
          <w:rFonts w:ascii="Arial" w:hAnsi="Arial"/>
          <w:color w:val="231F20"/>
          <w:w w:val="105"/>
          <w:sz w:val="20"/>
        </w:rPr>
        <w:t>be expected to have more advanced skills than a former phlebotomist or scribe.</w:t>
      </w:r>
    </w:p>
    <w:p>
      <w:pPr>
        <w:pStyle w:val="BodyText"/>
        <w:ind w:left="0" w:firstLine="0"/>
        <w:rPr>
          <w:rFonts w:ascii="Arial"/>
          <w:sz w:val="20"/>
        </w:rPr>
      </w:pPr>
    </w:p>
    <w:p>
      <w:pPr>
        <w:pStyle w:val="BodyText"/>
        <w:spacing w:before="1"/>
        <w:ind w:left="0" w:firstLine="0"/>
        <w:rPr>
          <w:rFonts w:ascii="Arial"/>
        </w:rPr>
      </w:pPr>
    </w:p>
    <w:p>
      <w:pPr>
        <w:pStyle w:val="Heading1"/>
        <w:spacing w:before="111"/>
        <w:ind w:left="1110"/>
      </w:pPr>
      <w:r>
        <w:rPr/>
        <w:pict>
          <v:group style="position:absolute;margin-left:43.5pt;margin-top:-6.999322pt;width:524.5pt;height:360.6pt;mso-position-horizontal-relative:page;mso-position-vertical-relative:paragraph;z-index:-15789056" id="docshapegroup8" coordorigin="870,-140" coordsize="10490,7212">
            <v:rect style="position:absolute;left:870;top:-140;width:10490;height:7212" id="docshape9" filled="true" fillcolor="#f1f5fb" stroked="false">
              <v:fill type="solid"/>
            </v:rect>
            <v:shape style="position:absolute;left:1065;top:2575;width:347;height:332" type="#_x0000_t75" id="docshape10" stroked="false">
              <v:imagedata r:id="rId6" o:title=""/>
            </v:shape>
            <v:shape style="position:absolute;left:1060;top:4561;width:296;height:296" type="#_x0000_t75" id="docshape11" stroked="false">
              <v:imagedata r:id="rId7" o:title=""/>
            </v:shape>
            <w10:wrap type="none"/>
          </v:group>
        </w:pict>
      </w:r>
      <w:r>
        <w:rPr>
          <w:color w:val="288DCC"/>
        </w:rPr>
        <w:t>Suggestions</w:t>
      </w:r>
      <w:r>
        <w:rPr>
          <w:color w:val="288DCC"/>
          <w:spacing w:val="4"/>
        </w:rPr>
        <w:t> </w:t>
      </w:r>
      <w:r>
        <w:rPr>
          <w:color w:val="288DCC"/>
        </w:rPr>
        <w:t>for</w:t>
      </w:r>
      <w:r>
        <w:rPr>
          <w:color w:val="288DCC"/>
          <w:spacing w:val="4"/>
        </w:rPr>
        <w:t> </w:t>
      </w:r>
      <w:r>
        <w:rPr>
          <w:color w:val="288DCC"/>
        </w:rPr>
        <w:t>assessing</w:t>
      </w:r>
      <w:r>
        <w:rPr>
          <w:color w:val="288DCC"/>
          <w:spacing w:val="5"/>
        </w:rPr>
        <w:t> </w:t>
      </w:r>
      <w:r>
        <w:rPr>
          <w:color w:val="288DCC"/>
        </w:rPr>
        <w:t>student</w:t>
      </w:r>
      <w:r>
        <w:rPr>
          <w:color w:val="288DCC"/>
          <w:spacing w:val="4"/>
        </w:rPr>
        <w:t> </w:t>
      </w:r>
      <w:r>
        <w:rPr>
          <w:color w:val="288DCC"/>
        </w:rPr>
        <w:t>on</w:t>
      </w:r>
      <w:r>
        <w:rPr>
          <w:color w:val="288DCC"/>
          <w:spacing w:val="5"/>
        </w:rPr>
        <w:t> </w:t>
      </w:r>
      <w:r>
        <w:rPr>
          <w:color w:val="288DCC"/>
        </w:rPr>
        <w:t>first</w:t>
      </w:r>
      <w:r>
        <w:rPr>
          <w:color w:val="288DCC"/>
          <w:spacing w:val="4"/>
        </w:rPr>
        <w:t> </w:t>
      </w:r>
      <w:r>
        <w:rPr>
          <w:color w:val="288DCC"/>
        </w:rPr>
        <w:t>day</w:t>
      </w:r>
      <w:r>
        <w:rPr>
          <w:color w:val="288DCC"/>
          <w:spacing w:val="4"/>
        </w:rPr>
        <w:t> </w:t>
      </w:r>
      <w:r>
        <w:rPr>
          <w:color w:val="288DCC"/>
        </w:rPr>
        <w:t>of</w:t>
      </w:r>
      <w:r>
        <w:rPr>
          <w:color w:val="288DCC"/>
          <w:spacing w:val="5"/>
        </w:rPr>
        <w:t> </w:t>
      </w:r>
      <w:r>
        <w:rPr>
          <w:color w:val="288DCC"/>
          <w:spacing w:val="-2"/>
        </w:rPr>
        <w:t>training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1" w:lineRule="exact" w:before="7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Determine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student’s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status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–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early,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mid,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or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late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17"/>
          <w:sz w:val="17"/>
        </w:rPr>
        <w:t> </w:t>
      </w:r>
      <w:r>
        <w:rPr>
          <w:color w:val="231F20"/>
          <w:spacing w:val="-2"/>
          <w:sz w:val="17"/>
        </w:rPr>
        <w:t>training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Ask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what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clinical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experiences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they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had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prior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PA</w:t>
      </w:r>
      <w:r>
        <w:rPr>
          <w:color w:val="231F20"/>
          <w:spacing w:val="15"/>
          <w:sz w:val="17"/>
        </w:rPr>
        <w:t> </w:t>
      </w:r>
      <w:r>
        <w:rPr>
          <w:color w:val="231F20"/>
          <w:spacing w:val="-2"/>
          <w:sz w:val="17"/>
        </w:rPr>
        <w:t>school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Ask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how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confident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they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feel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their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ability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function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clinically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your</w:t>
      </w:r>
      <w:r>
        <w:rPr>
          <w:color w:val="231F20"/>
          <w:spacing w:val="13"/>
          <w:sz w:val="17"/>
        </w:rPr>
        <w:t> </w:t>
      </w:r>
      <w:r>
        <w:rPr>
          <w:color w:val="231F20"/>
          <w:spacing w:val="-2"/>
          <w:sz w:val="17"/>
        </w:rPr>
        <w:t>specialty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Determine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what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their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general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goals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are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rotation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(knowledge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skills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they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wish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5"/>
          <w:sz w:val="17"/>
        </w:rPr>
        <w:t> </w:t>
      </w:r>
      <w:r>
        <w:rPr>
          <w:color w:val="231F20"/>
          <w:spacing w:val="-2"/>
          <w:sz w:val="17"/>
        </w:rPr>
        <w:t>acquire)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Tailor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student’s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early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experiences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based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24"/>
          <w:sz w:val="17"/>
        </w:rPr>
        <w:t> </w:t>
      </w:r>
      <w:r>
        <w:rPr>
          <w:color w:val="231F20"/>
          <w:sz w:val="17"/>
        </w:rPr>
        <w:t>factors</w:t>
      </w:r>
      <w:r>
        <w:rPr>
          <w:color w:val="231F20"/>
          <w:spacing w:val="24"/>
          <w:sz w:val="17"/>
        </w:rPr>
        <w:t> </w:t>
      </w:r>
      <w:r>
        <w:rPr>
          <w:color w:val="231F20"/>
          <w:spacing w:val="-4"/>
          <w:sz w:val="17"/>
        </w:rPr>
        <w:t>above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Provide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observational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experiences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earliest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days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rotation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less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comfortable</w:t>
      </w:r>
      <w:r>
        <w:rPr>
          <w:color w:val="231F20"/>
          <w:spacing w:val="23"/>
          <w:sz w:val="17"/>
        </w:rPr>
        <w:t> </w:t>
      </w:r>
      <w:r>
        <w:rPr>
          <w:color w:val="231F20"/>
          <w:spacing w:val="-2"/>
          <w:sz w:val="17"/>
        </w:rPr>
        <w:t>students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40" w:lineRule="auto" w:before="0" w:after="0"/>
        <w:ind w:left="1829" w:right="1180" w:hanging="260"/>
        <w:jc w:val="left"/>
        <w:rPr>
          <w:sz w:val="17"/>
        </w:rPr>
      </w:pPr>
      <w:r>
        <w:rPr>
          <w:color w:val="231F20"/>
          <w:sz w:val="17"/>
        </w:rPr>
        <w:t>Note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that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more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accomplished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comfortable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students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may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be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able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begin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seeing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patients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independently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while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you see another patient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08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Communicate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students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that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you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expect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them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evolve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over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your</w:t>
      </w:r>
      <w:r>
        <w:rPr>
          <w:color w:val="231F20"/>
          <w:spacing w:val="11"/>
          <w:sz w:val="17"/>
        </w:rPr>
        <w:t> </w:t>
      </w:r>
      <w:r>
        <w:rPr>
          <w:color w:val="231F20"/>
          <w:sz w:val="17"/>
        </w:rPr>
        <w:t>time</w:t>
      </w:r>
      <w:r>
        <w:rPr>
          <w:color w:val="231F20"/>
          <w:spacing w:val="11"/>
          <w:sz w:val="17"/>
        </w:rPr>
        <w:t> </w:t>
      </w:r>
      <w:r>
        <w:rPr>
          <w:color w:val="231F20"/>
          <w:spacing w:val="-2"/>
          <w:sz w:val="17"/>
        </w:rPr>
        <w:t>together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1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Directly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observe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certain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students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assess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skills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Hx,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PE,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7"/>
          <w:sz w:val="17"/>
        </w:rPr>
        <w:t> </w:t>
      </w:r>
      <w:r>
        <w:rPr>
          <w:color w:val="231F20"/>
          <w:spacing w:val="-2"/>
          <w:sz w:val="17"/>
        </w:rPr>
        <w:t>procedures</w:t>
      </w:r>
    </w:p>
    <w:p>
      <w:pPr>
        <w:pStyle w:val="Heading1"/>
        <w:rPr>
          <w:rFonts w:ascii="Arial" w:hAnsi="Arial"/>
        </w:rPr>
      </w:pPr>
      <w:r>
        <w:rPr>
          <w:rFonts w:ascii="Arial" w:hAnsi="Arial"/>
          <w:color w:val="288DCC"/>
        </w:rPr>
        <w:t>Behaviors</w:t>
      </w:r>
      <w:r>
        <w:rPr>
          <w:rFonts w:ascii="Arial" w:hAnsi="Arial"/>
          <w:color w:val="288DCC"/>
          <w:spacing w:val="-12"/>
        </w:rPr>
        <w:t> </w:t>
      </w:r>
      <w:r>
        <w:rPr>
          <w:rFonts w:ascii="Arial" w:hAnsi="Arial"/>
          <w:color w:val="288DCC"/>
        </w:rPr>
        <w:t>that</w:t>
      </w:r>
      <w:r>
        <w:rPr>
          <w:rFonts w:ascii="Arial" w:hAnsi="Arial"/>
          <w:color w:val="288DCC"/>
          <w:spacing w:val="-11"/>
        </w:rPr>
        <w:t> </w:t>
      </w:r>
      <w:r>
        <w:rPr>
          <w:rFonts w:ascii="Arial" w:hAnsi="Arial"/>
          <w:color w:val="288DCC"/>
        </w:rPr>
        <w:t>indicate</w:t>
      </w:r>
      <w:r>
        <w:rPr>
          <w:rFonts w:ascii="Arial" w:hAnsi="Arial"/>
          <w:color w:val="288DCC"/>
          <w:spacing w:val="-11"/>
        </w:rPr>
        <w:t> </w:t>
      </w:r>
      <w:r>
        <w:rPr>
          <w:rFonts w:ascii="Arial" w:hAnsi="Arial"/>
          <w:color w:val="288DCC"/>
        </w:rPr>
        <w:t>the</w:t>
      </w:r>
      <w:r>
        <w:rPr>
          <w:rFonts w:ascii="Arial" w:hAnsi="Arial"/>
          <w:color w:val="288DCC"/>
          <w:spacing w:val="-11"/>
        </w:rPr>
        <w:t> </w:t>
      </w:r>
      <w:r>
        <w:rPr>
          <w:rFonts w:ascii="Arial" w:hAnsi="Arial"/>
          <w:color w:val="288DCC"/>
        </w:rPr>
        <w:t>student</w:t>
      </w:r>
      <w:r>
        <w:rPr>
          <w:rFonts w:ascii="Arial" w:hAnsi="Arial"/>
          <w:color w:val="288DCC"/>
          <w:spacing w:val="-11"/>
        </w:rPr>
        <w:t> </w:t>
      </w:r>
      <w:r>
        <w:rPr>
          <w:rFonts w:ascii="Arial" w:hAnsi="Arial"/>
          <w:color w:val="288DCC"/>
        </w:rPr>
        <w:t>is</w:t>
      </w:r>
      <w:r>
        <w:rPr>
          <w:rFonts w:ascii="Arial" w:hAnsi="Arial"/>
          <w:color w:val="288DCC"/>
          <w:spacing w:val="-11"/>
        </w:rPr>
        <w:t> </w:t>
      </w:r>
      <w:r>
        <w:rPr>
          <w:rFonts w:ascii="Arial" w:hAnsi="Arial"/>
          <w:color w:val="288DCC"/>
        </w:rPr>
        <w:t>“getting</w:t>
      </w:r>
      <w:r>
        <w:rPr>
          <w:rFonts w:ascii="Arial" w:hAnsi="Arial"/>
          <w:color w:val="288DCC"/>
          <w:spacing w:val="-12"/>
        </w:rPr>
        <w:t> </w:t>
      </w:r>
      <w:r>
        <w:rPr>
          <w:rFonts w:ascii="Arial" w:hAnsi="Arial"/>
          <w:color w:val="288DCC"/>
          <w:spacing w:val="-5"/>
        </w:rPr>
        <w:t>it”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1" w:lineRule="exact" w:before="8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Presents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thorough,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focused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history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5"/>
          <w:sz w:val="17"/>
        </w:rPr>
        <w:t> </w:t>
      </w:r>
      <w:r>
        <w:rPr>
          <w:color w:val="231F20"/>
          <w:spacing w:val="-2"/>
          <w:sz w:val="17"/>
        </w:rPr>
        <w:t>physical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Consistently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articulates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sound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decision-making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differential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working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toward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21"/>
          <w:sz w:val="17"/>
        </w:rPr>
        <w:t> </w:t>
      </w:r>
      <w:r>
        <w:rPr>
          <w:color w:val="231F20"/>
          <w:spacing w:val="-2"/>
          <w:sz w:val="17"/>
        </w:rPr>
        <w:t>diagnosis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Develops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implements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reasonable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plan</w:t>
      </w:r>
      <w:r>
        <w:rPr>
          <w:color w:val="231F20"/>
          <w:spacing w:val="1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6"/>
          <w:sz w:val="17"/>
        </w:rPr>
        <w:t> </w:t>
      </w:r>
      <w:r>
        <w:rPr>
          <w:color w:val="231F20"/>
          <w:spacing w:val="-4"/>
          <w:sz w:val="17"/>
        </w:rPr>
        <w:t>care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Connects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patients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interpersonally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caring</w:t>
      </w:r>
      <w:r>
        <w:rPr>
          <w:color w:val="231F20"/>
          <w:spacing w:val="28"/>
          <w:sz w:val="17"/>
        </w:rPr>
        <w:t> </w:t>
      </w:r>
      <w:r>
        <w:rPr>
          <w:color w:val="231F20"/>
          <w:spacing w:val="-2"/>
          <w:sz w:val="17"/>
        </w:rPr>
        <w:t>manner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organized,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independent,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time-</w:t>
      </w:r>
      <w:r>
        <w:rPr>
          <w:color w:val="231F20"/>
          <w:spacing w:val="-2"/>
          <w:sz w:val="17"/>
        </w:rPr>
        <w:t>efficient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self-confident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but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knows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their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limits,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asks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20"/>
          <w:sz w:val="17"/>
        </w:rPr>
        <w:t> </w:t>
      </w:r>
      <w:r>
        <w:rPr>
          <w:color w:val="231F20"/>
          <w:spacing w:val="-4"/>
          <w:sz w:val="17"/>
        </w:rPr>
        <w:t>help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Has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holistic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view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care;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includes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health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promotion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disease</w:t>
      </w:r>
      <w:r>
        <w:rPr>
          <w:color w:val="231F20"/>
          <w:spacing w:val="19"/>
          <w:sz w:val="17"/>
        </w:rPr>
        <w:t> </w:t>
      </w:r>
      <w:r>
        <w:rPr>
          <w:color w:val="231F20"/>
          <w:spacing w:val="-2"/>
          <w:sz w:val="17"/>
        </w:rPr>
        <w:t>prevention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1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Provides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concise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accurate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charting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oral</w:t>
      </w:r>
      <w:r>
        <w:rPr>
          <w:color w:val="231F20"/>
          <w:spacing w:val="25"/>
          <w:sz w:val="17"/>
        </w:rPr>
        <w:t> </w:t>
      </w:r>
      <w:r>
        <w:rPr>
          <w:color w:val="231F20"/>
          <w:spacing w:val="-2"/>
          <w:sz w:val="17"/>
        </w:rPr>
        <w:t>presentations</w:t>
      </w:r>
    </w:p>
    <w:p>
      <w:pPr>
        <w:pStyle w:val="Heading1"/>
      </w:pPr>
      <w:r>
        <w:rPr>
          <w:color w:val="288DCC"/>
          <w:spacing w:val="-2"/>
        </w:rPr>
        <w:t>“Red</w:t>
      </w:r>
      <w:r>
        <w:rPr>
          <w:color w:val="288DCC"/>
          <w:spacing w:val="-5"/>
        </w:rPr>
        <w:t> </w:t>
      </w:r>
      <w:r>
        <w:rPr>
          <w:color w:val="288DCC"/>
          <w:spacing w:val="-2"/>
        </w:rPr>
        <w:t>flag”</w:t>
      </w:r>
      <w:r>
        <w:rPr>
          <w:color w:val="288DCC"/>
          <w:spacing w:val="-5"/>
        </w:rPr>
        <w:t> </w:t>
      </w:r>
      <w:r>
        <w:rPr>
          <w:color w:val="288DCC"/>
          <w:spacing w:val="-2"/>
        </w:rPr>
        <w:t>behaviors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1" w:lineRule="exact" w:before="7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hesitant,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anxious,</w:t>
      </w:r>
      <w:r>
        <w:rPr>
          <w:color w:val="231F20"/>
          <w:spacing w:val="22"/>
          <w:sz w:val="17"/>
        </w:rPr>
        <w:t> </w:t>
      </w:r>
      <w:r>
        <w:rPr>
          <w:color w:val="231F20"/>
          <w:sz w:val="17"/>
        </w:rPr>
        <w:t>defensive,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or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not</w:t>
      </w:r>
      <w:r>
        <w:rPr>
          <w:color w:val="231F20"/>
          <w:spacing w:val="22"/>
          <w:sz w:val="17"/>
        </w:rPr>
        <w:t> </w:t>
      </w:r>
      <w:r>
        <w:rPr>
          <w:color w:val="231F20"/>
          <w:spacing w:val="-2"/>
          <w:sz w:val="17"/>
        </w:rPr>
        <w:t>collegial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Has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uneasy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rapport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patients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misses</w:t>
      </w:r>
      <w:r>
        <w:rPr>
          <w:color w:val="231F20"/>
          <w:spacing w:val="20"/>
          <w:sz w:val="17"/>
        </w:rPr>
        <w:t> </w:t>
      </w:r>
      <w:r>
        <w:rPr>
          <w:color w:val="231F20"/>
          <w:spacing w:val="-4"/>
          <w:sz w:val="17"/>
        </w:rPr>
        <w:t>cues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Presents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less-focused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history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physical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excessive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incomplete</w:t>
      </w:r>
      <w:r>
        <w:rPr>
          <w:color w:val="231F20"/>
          <w:spacing w:val="33"/>
          <w:sz w:val="17"/>
        </w:rPr>
        <w:t> </w:t>
      </w:r>
      <w:r>
        <w:rPr>
          <w:color w:val="231F20"/>
          <w:spacing w:val="-4"/>
          <w:sz w:val="17"/>
        </w:rPr>
        <w:t>data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Performs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physical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examination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poorly,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or</w:t>
      </w:r>
      <w:r>
        <w:rPr>
          <w:color w:val="231F20"/>
          <w:spacing w:val="19"/>
          <w:sz w:val="17"/>
        </w:rPr>
        <w:t> </w:t>
      </w:r>
      <w:r>
        <w:rPr>
          <w:color w:val="231F20"/>
          <w:spacing w:val="-2"/>
          <w:sz w:val="17"/>
        </w:rPr>
        <w:t>inconsistently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18"/>
          <w:sz w:val="17"/>
        </w:rPr>
        <w:t> </w:t>
      </w:r>
      <w:r>
        <w:rPr>
          <w:color w:val="231F20"/>
          <w:sz w:val="17"/>
        </w:rPr>
        <w:t>unable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explain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reasoning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19"/>
          <w:sz w:val="17"/>
        </w:rPr>
        <w:t> </w:t>
      </w:r>
      <w:r>
        <w:rPr>
          <w:color w:val="231F20"/>
          <w:spacing w:val="-2"/>
          <w:sz w:val="17"/>
        </w:rPr>
        <w:t>diagnosis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unable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prioritize</w:t>
      </w:r>
      <w:r>
        <w:rPr>
          <w:color w:val="231F20"/>
          <w:spacing w:val="14"/>
          <w:sz w:val="17"/>
        </w:rPr>
        <w:t> </w:t>
      </w:r>
      <w:r>
        <w:rPr>
          <w:color w:val="231F20"/>
          <w:sz w:val="17"/>
        </w:rPr>
        <w:t>patient</w:t>
      </w:r>
      <w:r>
        <w:rPr>
          <w:color w:val="231F20"/>
          <w:spacing w:val="13"/>
          <w:sz w:val="17"/>
        </w:rPr>
        <w:t> </w:t>
      </w:r>
      <w:r>
        <w:rPr>
          <w:color w:val="231F20"/>
          <w:spacing w:val="-2"/>
          <w:sz w:val="17"/>
        </w:rPr>
        <w:t>problems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unable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9"/>
          <w:sz w:val="17"/>
        </w:rPr>
        <w:t> </w:t>
      </w:r>
      <w:r>
        <w:rPr>
          <w:color w:val="231F20"/>
          <w:sz w:val="17"/>
        </w:rPr>
        <w:t>create</w:t>
      </w:r>
      <w:r>
        <w:rPr>
          <w:color w:val="231F20"/>
          <w:spacing w:val="20"/>
          <w:sz w:val="17"/>
        </w:rPr>
        <w:t> </w:t>
      </w:r>
      <w:r>
        <w:rPr>
          <w:color w:val="231F20"/>
          <w:sz w:val="17"/>
        </w:rPr>
        <w:t>plans</w:t>
      </w:r>
      <w:r>
        <w:rPr>
          <w:color w:val="231F20"/>
          <w:spacing w:val="19"/>
          <w:sz w:val="17"/>
        </w:rPr>
        <w:t> </w:t>
      </w:r>
      <w:r>
        <w:rPr>
          <w:color w:val="231F20"/>
          <w:spacing w:val="-2"/>
          <w:sz w:val="17"/>
        </w:rPr>
        <w:t>independently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Misses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health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education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disease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prevention</w:t>
      </w:r>
      <w:r>
        <w:rPr>
          <w:color w:val="231F20"/>
          <w:spacing w:val="26"/>
          <w:sz w:val="17"/>
        </w:rPr>
        <w:t> </w:t>
      </w:r>
      <w:r>
        <w:rPr>
          <w:color w:val="231F20"/>
          <w:sz w:val="17"/>
        </w:rPr>
        <w:t>opportunities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6"/>
          <w:sz w:val="17"/>
        </w:rPr>
        <w:t> </w:t>
      </w:r>
      <w:r>
        <w:rPr>
          <w:color w:val="231F20"/>
          <w:spacing w:val="-4"/>
          <w:sz w:val="17"/>
        </w:rPr>
        <w:t>plan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0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unsure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tests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6"/>
          <w:sz w:val="17"/>
        </w:rPr>
        <w:t> </w:t>
      </w:r>
      <w:r>
        <w:rPr>
          <w:color w:val="231F20"/>
          <w:spacing w:val="-4"/>
          <w:sz w:val="17"/>
        </w:rPr>
        <w:t>order</w:t>
      </w:r>
    </w:p>
    <w:p>
      <w:pPr>
        <w:pStyle w:val="ListParagraph"/>
        <w:numPr>
          <w:ilvl w:val="1"/>
          <w:numId w:val="1"/>
        </w:numPr>
        <w:tabs>
          <w:tab w:pos="1830" w:val="left" w:leader="none"/>
        </w:tabs>
        <w:spacing w:line="211" w:lineRule="exact" w:before="0" w:after="0"/>
        <w:ind w:left="1829" w:right="0" w:hanging="260"/>
        <w:jc w:val="left"/>
        <w:rPr>
          <w:sz w:val="17"/>
        </w:rPr>
      </w:pPr>
      <w:r>
        <w:rPr>
          <w:color w:val="231F20"/>
          <w:sz w:val="17"/>
        </w:rPr>
        <w:t>Is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unable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provide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clear</w:t>
      </w:r>
      <w:r>
        <w:rPr>
          <w:color w:val="231F20"/>
          <w:spacing w:val="17"/>
          <w:sz w:val="17"/>
        </w:rPr>
        <w:t> </w:t>
      </w:r>
      <w:r>
        <w:rPr>
          <w:color w:val="231F20"/>
          <w:sz w:val="17"/>
        </w:rPr>
        <w:t>charting</w:t>
      </w:r>
      <w:r>
        <w:rPr>
          <w:color w:val="231F20"/>
          <w:spacing w:val="1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17"/>
          <w:sz w:val="17"/>
        </w:rPr>
        <w:t> </w:t>
      </w:r>
      <w:r>
        <w:rPr>
          <w:color w:val="231F20"/>
          <w:spacing w:val="-2"/>
          <w:sz w:val="17"/>
        </w:rPr>
        <w:t>presentations</w:t>
      </w:r>
    </w:p>
    <w:p>
      <w:pPr>
        <w:pStyle w:val="BodyText"/>
        <w:ind w:left="0" w:firstLine="0"/>
        <w:rPr>
          <w:sz w:val="16"/>
        </w:rPr>
      </w:pPr>
    </w:p>
    <w:p>
      <w:pPr>
        <w:pStyle w:val="BodyText"/>
        <w:spacing w:before="8"/>
        <w:ind w:left="0" w:firstLine="0"/>
      </w:pPr>
    </w:p>
    <w:p>
      <w:pPr>
        <w:spacing w:line="249" w:lineRule="auto" w:before="0"/>
        <w:ind w:left="870" w:right="1038" w:firstLine="0"/>
        <w:jc w:val="left"/>
        <w:rPr>
          <w:rFonts w:ascii="Arial" w:hAnsi="Arial"/>
          <w:sz w:val="16"/>
        </w:rPr>
      </w:pPr>
      <w:r>
        <w:rPr>
          <w:rFonts w:ascii="Arial" w:hAnsi="Arial"/>
          <w:color w:val="231F20"/>
          <w:w w:val="105"/>
          <w:sz w:val="16"/>
        </w:rPr>
        <w:t>*For students who consistently display any of the “red flag” behaviors, please document this for the PA program’s clinical faculty as a part</w:t>
      </w:r>
      <w:r>
        <w:rPr>
          <w:rFonts w:ascii="Arial" w:hAnsi="Arial"/>
          <w:color w:val="231F20"/>
          <w:spacing w:val="40"/>
          <w:w w:val="105"/>
          <w:sz w:val="16"/>
        </w:rPr>
        <w:t> </w:t>
      </w:r>
      <w:r>
        <w:rPr>
          <w:rFonts w:ascii="Arial" w:hAnsi="Arial"/>
          <w:color w:val="231F20"/>
          <w:w w:val="105"/>
          <w:sz w:val="16"/>
        </w:rPr>
        <w:t>of the student evaluation. Students and the clinical staff must be aware of these issues to be able to provide appropriate remediation. Early contact with program faculty allows the development of a remediation plan during the time the student is rotating with you.</w:t>
      </w:r>
    </w:p>
    <w:p>
      <w:pPr>
        <w:pStyle w:val="BodyText"/>
        <w:ind w:left="0" w:firstLine="0"/>
        <w:rPr>
          <w:rFonts w:ascii="Arial"/>
          <w:sz w:val="22"/>
        </w:rPr>
      </w:pPr>
    </w:p>
    <w:p>
      <w:pPr>
        <w:pStyle w:val="BodyText"/>
        <w:ind w:left="0" w:firstLine="0"/>
        <w:rPr>
          <w:rFonts w:ascii="Arial"/>
          <w:sz w:val="22"/>
        </w:rPr>
      </w:pPr>
    </w:p>
    <w:p>
      <w:pPr>
        <w:pStyle w:val="BodyText"/>
        <w:spacing w:before="5"/>
        <w:ind w:left="0" w:firstLine="0"/>
        <w:rPr>
          <w:rFonts w:ascii="Arial"/>
        </w:rPr>
      </w:pPr>
    </w:p>
    <w:p>
      <w:pPr>
        <w:spacing w:before="0"/>
        <w:ind w:left="870" w:right="0" w:firstLine="0"/>
        <w:jc w:val="left"/>
        <w:rPr>
          <w:rFonts w:ascii="Trebuchet MS"/>
          <w:b/>
          <w:sz w:val="14"/>
        </w:rPr>
      </w:pPr>
      <w:r>
        <w:rPr/>
        <w:pict>
          <v:group style="position:absolute;margin-left:517.690979pt;margin-top:2.898053pt;width:51.35pt;height:26.8pt;mso-position-horizontal-relative:page;mso-position-vertical-relative:paragraph;z-index:15729152" id="docshapegroup12" coordorigin="10354,58" coordsize="1027,536">
            <v:shape style="position:absolute;left:10892;top:195;width:488;height:258" type="#_x0000_t75" id="docshape13" stroked="false">
              <v:imagedata r:id="rId8" o:title=""/>
            </v:shape>
            <v:shape style="position:absolute;left:10353;top:57;width:563;height:536" id="docshape14" coordorigin="10354,58" coordsize="563,536" path="m10662,267l10661,252,10659,240,10654,229,10647,221,10638,214,10627,210,10613,207,10597,206,10588,206,10582,206,10577,207,10577,325,10610,325,10622,323,10631,320,10640,317,10647,311,10659,293,10662,281,10662,267xm10793,337l10752,240,10708,351,10696,381,10716,368,10739,357,10765,346,10793,337xm10917,326l10917,323,10842,339,10778,364,10725,397,10688,436,10689,437,10690,438,10697,443,10703,445,10712,445,10712,453,10636,453,10636,445,10647,443,10655,439,10661,433,10665,427,10670,418,10675,407,10680,394,10763,197,10764,196,10771,196,10827,328,10848,323,10870,319,10893,316,10916,313,10904,245,10880,196,10874,184,10830,132,10774,93,10708,67,10702,66,10702,265,10702,279,10699,291,10687,312,10678,320,10666,326,10656,329,10642,332,10625,333,10605,334,10577,334,10577,408,10578,421,10579,433,10582,438,10590,444,10598,445,10618,445,10618,454,10501,454,10501,445,10519,445,10527,444,10535,438,10538,434,10539,428,10540,422,10540,414,10540,407,10540,394,10540,243,10540,230,10538,218,10535,214,10527,210,10519,208,10501,208,10501,200,10567,197,10581,197,10596,197,10611,197,10628,199,10642,200,10654,203,10664,207,10673,212,10681,218,10689,225,10695,233,10699,243,10701,253,10702,265,10702,66,10635,58,10563,68,10497,95,10439,135,10394,188,10365,252,10354,325,10354,326,10366,398,10395,463,10440,516,10496,558,10562,584,10635,593,10712,583,10781,555,10839,510,10882,454,10883,453,10798,453,10798,445,10810,445,10819,444,10827,440,10829,437,10830,428,10827,420,10821,407,10805,368,10816,364,10828,360,10839,356,10856,397,10870,430,10874,435,10882,441,10883,441,10889,442,10901,415,10909,386,10915,356,10915,356,10917,326xe" filled="true" fillcolor="#55565a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231F20"/>
          <w:spacing w:val="-2"/>
          <w:w w:val="105"/>
          <w:sz w:val="14"/>
        </w:rPr>
        <w:t>reference</w:t>
      </w:r>
    </w:p>
    <w:p>
      <w:pPr>
        <w:spacing w:before="6"/>
        <w:ind w:left="870" w:right="0" w:firstLine="0"/>
        <w:jc w:val="left"/>
        <w:rPr>
          <w:rFonts w:ascii="Arial"/>
          <w:sz w:val="14"/>
        </w:rPr>
      </w:pPr>
      <w:r>
        <w:rPr>
          <w:rFonts w:ascii="Arial"/>
          <w:color w:val="231F20"/>
          <w:w w:val="105"/>
          <w:sz w:val="14"/>
        </w:rPr>
        <w:t>Modified</w:t>
      </w:r>
      <w:r>
        <w:rPr>
          <w:rFonts w:ascii="Arial"/>
          <w:color w:val="231F20"/>
          <w:spacing w:val="6"/>
          <w:w w:val="105"/>
          <w:sz w:val="14"/>
        </w:rPr>
        <w:t> </w:t>
      </w:r>
      <w:r>
        <w:rPr>
          <w:rFonts w:ascii="Arial"/>
          <w:color w:val="231F20"/>
          <w:w w:val="105"/>
          <w:sz w:val="14"/>
        </w:rPr>
        <w:t>from:</w:t>
      </w:r>
      <w:r>
        <w:rPr>
          <w:rFonts w:ascii="Arial"/>
          <w:color w:val="231F20"/>
          <w:spacing w:val="6"/>
          <w:w w:val="105"/>
          <w:sz w:val="14"/>
        </w:rPr>
        <w:t> </w:t>
      </w:r>
      <w:r>
        <w:rPr>
          <w:rFonts w:ascii="Arial"/>
          <w:color w:val="231F20"/>
          <w:spacing w:val="-2"/>
          <w:w w:val="105"/>
          <w:sz w:val="14"/>
        </w:rPr>
        <w:t>ht</w:t>
      </w:r>
      <w:hyperlink r:id="rId9">
        <w:r>
          <w:rPr>
            <w:rFonts w:ascii="Arial"/>
            <w:color w:val="231F20"/>
            <w:spacing w:val="-2"/>
            <w:w w:val="105"/>
            <w:sz w:val="14"/>
          </w:rPr>
          <w:t>tps://www.midwestern.edu/Documents/AZ%20PA/Mastering_the_preceptor_role(0).pdf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90" w:hanging="2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60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231F20"/>
        <w:w w:val="69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7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3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4" w:hanging="2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29" w:hanging="260"/>
    </w:pPr>
    <w:rPr>
      <w:rFonts w:ascii="Book Antiqua" w:hAnsi="Book Antiqua" w:eastAsia="Book Antiqua" w:cs="Book Antiqua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570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10" w:lineRule="exact"/>
      <w:ind w:left="1829" w:hanging="260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midwestern.edu/Documents/AZ%20PA/Mastering_the_preceptor_role(0).pdf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2023-03-21T20:44:23Z</dcterms:created>
  <dcterms:modified xsi:type="dcterms:W3CDTF">2023-03-21T20:44:23Z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15.0</vt:lpwstr>
  </property>
</Properties>
</file>